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bookmarkStart w:id="0" w:name="_GoBack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Kierownik Jednostki Samorządu Terytorialnego (dalej JST)  - w rozumieniu art. 33 ust. 3 Ustawy o samorządzie gminnym (Dz.U.2018.994 tj. z dnia 2018.05.24)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Dane wnioskodawcy/współwnioskodawcy znajdują się poniżej oraz - w załączonym pliku sygnowanym bezpiecznym podpisem elektronicznym, weryfikowanym kwalifikowanym certyfikatem - stosownie do dyspozycji Ustawy z dnia 5 września 2016 r. o usługach zaufania oraz identyfikacji elektronicznej (Dz.U.2016.1579 dnia 2016.09.29)  oraz przepisów art. 4 ust. 5 Ustawy o petycjach (Dz.U.2014.1195 z dnia 2014.09.05) (Dz.U.2014.1195 z dnia 2014.09.05) -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Data dostarczenia - zgodna z dyspozycją art. 61 pkt. 2 Ustawy Kodeks Cywilny (Dz.U.2018.1025 tj. z dnia 2018.05.29)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Preambuła Wniosku: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Art. 7 ust. 1 pkt. 3 Ustawy z dnia 8 marca 1990 r. o samorządzie gminnym (Dz.U.2018.994 tj. z dnia 2018.05.24)  - nakazuje Wójtom/Burmistrzom/Prezydentom - w ramach zadań własnych - dbać o utrzymanie czystości na terenie Gminy. Tymczasem jak wynika z naszych poprzednich akcji wnioskowania - ilość skarg mieszkańców na ten obszar wypełniania zadań publicznych - z roku na rok rośnie.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Jak wynika z odpowiedzi na nasze poprzednie akcje wnioskowania - park maszynowy w Gminach jest przestarzały z duża emisją wtórną pyłów PM10, etc.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opinii Wnioskodawcy :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Ostatnie działania sfer rządowych - w skali macro - zmierzające do ograniczenia zanieczyszczenia środowiska - są bardzo ciekawe i kompleksowe - jednakże  - w opinii wnioskodawcy - w skali micro (Gminy/Miasta) nie zawsze - są w stanie sprostać oczekiwaniom mieszkańców w tej mierze. W miastach takich jak Kraków, czy Rybnik - sytuacja jest dramatyczna - o czym informują media oraz wszelkiego rodzaju zestawienia unijne.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Ustawodawca stara się zmienić ten stan faktyczny - choćby poprzez 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Ustawę z dnia 11 stycznia 2018 r. o elektromobilności i paliwach alternatywnych (Dz.U.2018.317 z 2018.02.07).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Dzięki przepisom przedmiotowej ustawy -  po upływie przewidzianego vacatio legis - znacznie wzrośnie udział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pojazdów elektrycznych oraz pojazdów napędzanych gazem ziemnym 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ramach floty pojazdów wykorzystywanych przez Gminę/Miasto do realizacji zadań publicznych.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Dlatego troską każdego Obywatela oraz Podmiotu gospodarczego - zajmującego się ex professo rzeczoną problematyką powinno być promowanie ekologicznych rozwiązań w tym obszarze.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Natomiast na Decydentach ciąży obowiązek wybrania rozwiązań najbardziej efektywnych z punktu wydatkowania publicznych pieniędzy i zachowania zasad uczciwej konkurencji.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Pro forma - pozwalamy sobie przytoczyć - wszystkim dobrze znany - odpowiedni zapis Konstytucji RP: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Art. 74. Ochrona środowiska jako obowiązek władz publicznych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1. 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Władze publiczne prowadzą politykę zapewniającą bezpieczeństwo ekologiczne współczesnemu i przyszłym pokoleniom.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2. Ochrona środowiska jest obowiązkiem władz publicznych.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3. Każdy ma prawo do informacji o stanie i ochronie środowiska.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4.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 Władze publiczne wspierają działania obywateli na rzecz ochrony i poprawy stanu środowiska.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związku z powyższym: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§1) Na mocy art. 61 Konstytucji RP, w trybie art. 6 ust. 1 pkt. 1 lit c Ustawy z dnia 6 września o dostępie do informacji publicznej (Dz.U.2016.1764 tj. z 2016.10.26) wnosimy o udzielenie informacji publicznej w przedmiocie  -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wyszczególnienia parku maszynowego - przeznaczonego do zadań oczyszczania Gminy. (pojazdy, rok produkcji, dmc – dopuszczalna masa całkowita, etc.)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lastRenderedPageBreak/>
        <w:t>W przypadku jeśli te zadania leżą w zakresie kompetencji Jednostki Organizacyjnej, na którą Gmina delegowała rzeczone kompetencje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wnosimy o przesłanie niniejszego wniosku do przedmiotowej Jednostki - co może nastąpić inter alia  na podstawie art. 65 KPA.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Czy maszyny te posiadają wymagane certyfikaty unijne - gwarantujące brak pylenia podczas pracy (problem PM10) ?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§2) Na mocy wyżej wzmiankowanych przepisów -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wnosimy o podanie danych kontaktowych (imię i nazwisko, stanowisko, adres e-mail, nr telefonu) Urzędnika  który w zakresie powierzonych mu kompetencji nadzoruje realizację zadania własnego gminy określonego w art. 7 ust. 1 pkt. 3 Ustawy z dnia 8 marca 1990 r. o samorządzie gminnym (Dz.U.2018.994 tj. z dnia 2018.05.24) ?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Wnioskodawca ma na myśli zadania własne gminy w obszarze utrzymania czystości i porządku na terenie gminy.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§2a) Na mocy art. 61 Konstytucji RP, w trybie art. 6 ust. 1 pkt. 1 lit a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(zamierzenia władzy Ustawodawczej) 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Ustawy z dnia 6 września o dostępie do informacji publicznej (Dz.U.2016.1764 tj. z 2016.10.26) -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wnosimy o udzielenie informacji kiedy planowane jest kolejne postępowanie przetargowe w tym obszarze.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Osnowa Wniosku: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 pozwala sobie zwrócić uwagę Decydentów,  na wzmiankowane przepisy gdyż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 z uprzednio uzyskiwanych przez Wnioskodawcę odpowiedzi wynika że sytuacja w tym obszarze - pozostawia wiele do życzenia.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 otrzymanych odpowiedzi wynika, że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Gminy/Miasta lub jednostki organizacyjne, którym gmina powierzyła wypełnianie zadań związanych z tym obszarem działalności publicznej - często posiadają przestrzały park maszynowy, paliwożerne pojazdy -  powodujące olbrzymią emisję wtórną - powstającą szczególnie - przy wykonywaniu zadań związanych z czyszczeniem ulic, etc.  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Tymczasem nowoczesne rozwiązania - stosowane w Krajach najbardziej rozwiniętych w pojazdach wykorzystujących zasilane sprężonym gazem ziemnym CNG lub skroplonym gazem ziemnym LNG - charakteryzują się: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dużą czystością spalin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niską emisją wtórną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zmniejszonym poziomem hałasu - dzięki temu część pracy można wykonać wcześnie rano lub późnym wieczorem, unikając korków, a nie budząc mieszkańców.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- w skali makro - co wydaje się niezwykle istotne - pozwalają na dywersyfikację źródeł zapotrzebowania Kraju w paliwa - zmniejszając zależność od ropy, etc 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Zainteresowanie tym obszarem jest nie tylko prawem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ale i obowiązkiem każdego Obywatela i podmiotu biorącego udział w funkcjonowaniu życia publicznego i w obrocie gospodarczym.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Pomimo, że nie wnioskujemy o informację przetworzoną w zakresie wymagającym znacznych nakładów pracy, uzasadniamy nasze pytania  stosownie do brzmienia art. 3 ust. 1 pkt. 1 Ustawy o dostępie do informacji publicznej  – tym, że przedmiotowa informacja oraz ewentualna późniejsza  próba optymalizacji tego obszaru wydaje się szczególnie istotna z punktu widzenia Interesu Społecznego - co wnioskodawca starał się powyżej udowodnić.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II - Petycja Odrębna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- procedowana w trybie Ustawy o petycjach (Dz.U.2018.870 t.j. z dnia 2018.05.10) - dla ułatwienia i zmniejszenia biurokracji dołączamy ją do niniejszego wniosku. Nie jest to łączenie trybów - zatem prosimy kwalifikować niniejsze pisma jako dwa środki prawne - wniosek oznaczony jako  I    i odrębną petycję oznaczoną II  - vide -  J. Borkowski (w:) B. Adamiak, J. Borkowski, Kodeks postępowania…, s. 668; por. także art. 12 ust. 1 komentowanej ustawy - dostępne w sieci Internet.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II.1)  W trybie Ustawy o petycjach (Dz.U.2018.870 tj. z dnia 2018.05.10)  - 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biorąc pod uwagę, iż czyste środowisko i zmniejszenie tzw. emisji wtórej 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należy z pewnością do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wartości wymagających szczególnej ochrony w imię dobra wspólnego, mieszczących się w zakresie zadań i kompetencji adresata petycji 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- wnosimy o: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Zaplanowanie postępowania w trybie Ustawy prawo zamówień publicznych, którego przedmiotem będzie modernizacja parku maszynowego z uwzględnieniem dywersyfikacji wykorzystywanego paliwa - a co za tym idzie - zwiększenie udziału bardziej ekologicznych paliw - typu - skroplony gaz ziemny, etc.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ABY NASZA PETYCJA NIE BYŁA W ŻADNYM RAZIE ŁĄCZONA Z PÓŹNIEJSZYM trybem zamówienia  nie musimy dodawać, że mamy nadzieję, iż postępowanie będzie prowadzone z uwzględnieniem zasad uczciwej konkurencji - i o wyborze oferenta będą decydować jedynie ustalone przez decydentów kryteria związane inter alia z bezpieczeństwem oraz cena.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II.2) Aby zachować pełną jawność i transparentność działań - wnosimy o opublikowanie treści petycji na stronie internetowej podmiotu rozpatrującego petycję lub urzędu go obsługującego (Adresata)  - na podstawie art. 8 ust. 1 ww. Ustawy o petycjach   - co jest jednoznaczne z wyrażeniem zgody na publikację wszystkich danych. Chcemy działać w pełni jawnie i transparentnie.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Dodatkowo - aby zachować pełną jawność i transparentność działania – przewidujemy publikację wyników wnioskowania oraz wybranych odpowiedzi – w naszym portalu www.gmina.pl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§3) Wnosimy o zwrotne potwierdzenie otrzymania niniejszego wniosku w trybie §7  Rozporządzenia Prezesa Rady Ministrów z dnia 8 stycznia 2002 r. w sprawie organizacji przyjmowania i rozpatrywania s. i wniosków. (Dz. U. z dnia 22 styczna 2002 r. Nr 5, poz. 46) -  na adres e-mail efektywne-oczyszcznie@samorzad.pl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§4) Wnosimy o to, aby odpowiedź w  przedmiocie powyższych pytań złożonych na mocy art. 61 Konstytucji RP w związku z art.  241 KPA, została udzielona - zwrotnie na adres e-mail efektywne-oczyszczanie@samorzad.pl - stosownie do wytycznych Ustawy z dnia 5 września 2016 r. o usługach zaufania oraz identyfikacji elektronicznej (Dz.U.2016.1579 dnia 2016.09.29)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Wnioskodawca: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Osoba Prawna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Szulc-Efekt sp. z o. o.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Prezes Zarządu: Adam Szulc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ul. Poligonowa 1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04-051 Warszawa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nr KRS: 0000059459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Kapitał Zakładowy: 222.000,00 PLN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www.gmina.pl    www.samorzad.pl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Dodatkowe informacje: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1 Ustawy o petycjach (Dz.U.2014.1195 z dnia 2014.09.05) -  osobą reprezentująca Podmiot wnoszący petycję - jest Prezes Zarządu Adam Szulc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Stosownie do art. 4 ust. 2 pkt. 5 ww. Ustawy - petycja niniejsza została złożona za pomocą środków komunikacji elektronicznej - a wskazanym zwrotnym adresem poczty elektronicznej jest: efektywne-oczyszczanie@samorzad.pl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Adresatem Petycji - jest Organ ujawniony w komparycji - jednoznacznie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identyfikowalny  za pomocą uzyskanego z Biuletynu Informacji Publicznej Urzędu - adresu e-mail !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Komentarz do Wniosku: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Pomimo, iż w rzeczonym wniosku powołujemy się na art. 241 Ustawy z dnia 14 czerwca 1960 r. Kodeks postępowania administracyjnego (Dz.U.2016.23 t.j. z dnia 2016.01.07) -  w naszym mniemaniu - nie oznacza to, że Urząd powinien rozpatrywać niniejsze wnioski w trybie KPA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opinii Wnioskodawcy Urząd powinien w zależności od dokonanej interpretacji treści pisma  - procedować nasze wnioski  -  w trybie Ustawy o petycjach (Dz.U.2014.1195 z dnia 2014.09.05)  lub odpowiednio Ustawy o dostępie do informacji publicznej (wynika to zazwyczaj z jego treści i powołanych podstaw prawnych).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- wg. Wnioskodawcy niniejszy wniosek może być jedynie fakultatywnie rozpatrywany - jako optymalizacyjny w związku z art. 241 KPA.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naszych wnioskach/petycjach  często powołujemy sie na  wzmiankowany art. 241 KPA - scilicet: "Przedmiotem wniosku mogą być w szczególności sprawy ulepszenia organizacji, wzmocnienia praworządności, usprawnienia pracy i zapobiegania nadużyciom, ochrony własności, lepszego zaspokajania potrzeb ludności.” - w sensie możliwości otwarcia procedury sanacyjnej.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Każdy Podmiot mający styczność z Urzędem - ma prawo i obowiązek - usprawniać struktury administracji samorządowej.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Zatem pomimo formy zewnętrznej - Decydenci mogą/powinni dokonać własnej interpretacji  - zgodnie z brzmieniem art. 222 KPA.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Nazwa Wnioskodawca - jest dla uproszczenia stosowna jako synonim nazwy “Podmiot Wnoszący Petycję” - w rozumieniu art. 4 ust. 4 Ustawy o petycjach (Dz.U.2014.1195 z dnia 2014.09.05)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Pozwalamy sobie również przypomnieć, że  ipso iure art. 2 ust. 2 Ustawy o dostępie do informacji publicznej “ (…) Od osoby wykonującej prawo do informacji publicznej nie wolno żądać wykazania interesu prawnego lub faktycznego.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Wnioskodawca   - pro forma podpisał - niniejszy wniosek -  bezpiecznym kwalifikowanym podpisem elektronicznym  (w załączeniu stosowne pliki) - choć według aktualnego orzecznictwa brak podpisu elektronicznego nie powoduje bezprzedmiotowości wniosku, stosownie do orzeczenia: Naczelnego Sądu Administracyjnego w Warszawie I OSK 1277/08.  Podkreślamy jednocześnie, iż przedmiotowy wniosek traktujemy jako próbę usprawnienia organizacji działania Jednostek Administracji Publicznej  - w celu lepszego zaspokajania potrzeb ludności. Do wniosku dołączono plik podpisany bezpiecznym kwalifikowanym podpisem elektronicznym, zawiera on taką samą treść, jak ta która znajduje się w niniejszej wiadomości e-mail.  Weryfikacja podpisu i odczytanie pliku wymaga posiadania oprogramowania, które bez ponoszenia opłat, można uzyskać na stronach WWW podmiotów - zgodnie z ustawą, świadczących usługi certyfikacyjne.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Celem naszych wniosków jest - sensu largo - usprawnienie, naprawa - na miarę istniejących możliwości - funkcjonowania struktur Administracji Publicznej - głownie w Gminach/Miastach  - gdzie jak wynika z naszych wniosków - stan faktyczny wymaga wszczęcia procedur sanacyjnych.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W Jednostkach Pionu Administracji Rządowej - stan faktyczny jest o wiele lepszy. 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Zwracamy uwagę, że Ustawodawca do tego stopnia stara się - poszerzyć spektrum możliwości porównywania cen i wyboru różnych opcji rynkowych oraz przeciwdziałać korupcji w Administracji Publicznej - że nakazał w §6 ust. 2 pkt. 2 załącznika nr 1 do Rozporządzenia Prezesa Rady Ministrów z dnia 18 stycznia 2011 r. w sprawie instrukcji kancelaryjnej, (…) (Dz. U. z dnia 20 stycznia 2011 r.) -  archiwizowanie, również wszystkich niezamówionych ofert, a co dopiero petycji i wniosków optymalizacyjnych. Cieszy nas ten fakt niemiernie, przyczyni się z pewnością do większej rozwagi w wydatkowaniu środków publicznych.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Duża ilość powoływanych przepisów prawa w przedmiotowym wniosku, wiąże się z tym, że chcemy uniknąć wyjaśniania intencji i podstaw prawnych w rozmowach telefonicznych - co rzadko, ale jednak, ciągle ma miejsce w przypadku nielicznych JST.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Jeżeli JST nie zgada się z powołanymi przepisami prawa, prosimy aby zastosowano podstawy prawne akceptowane przez JST.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Dobro Petenta i jawność życia publicznego jest naszym nadrzędnym celem, dlatego staramy się również upowszechniać zapisy Ustawowe dotyczące Wnioskowania. Kwestie te Ustawodawca podkreślił i uregulował w art. 63 Konstytucji RP: "Każdy ma prawo składać petycje, wnioski i skargi w interesie publicznym, własnym lub innej osoby za jej zgodą do organów władzy publicznej oraz do organizacji i instytucji społecznych w związku z wykonywanymi przez nie zadaniami zleconymi z zakresu administracji publicznej." oraz w art. 54 ust. 1 Konstytucji RP "Każdemu zapewnia się wolność wyrażania swoich poglądów oraz pozyskiwania i rozpowszechniania informacji."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Pamiętajmy również o przepisach zawartych </w:t>
      </w:r>
      <w:proofErr w:type="spellStart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inter</w:t>
      </w:r>
      <w:proofErr w:type="spellEnd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 xml:space="preserve"> </w:t>
      </w:r>
      <w:proofErr w:type="spellStart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alia</w:t>
      </w:r>
      <w:proofErr w:type="spellEnd"/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: w </w:t>
      </w:r>
      <w:r w:rsidRPr="00037167">
        <w:rPr>
          <w:rFonts w:ascii="Arial" w:eastAsia="Times New Roman" w:hAnsi="Arial" w:cs="Arial"/>
          <w:b/>
          <w:bCs/>
          <w:color w:val="000000"/>
          <w:sz w:val="21"/>
          <w:szCs w:val="21"/>
          <w:lang w:val="pl-PL" w:eastAsia="en-GB"/>
        </w:rPr>
        <w:t>art. 225 KPA: "§ 1. Nikt nie może być narażony na jakikolwiek uszczerbek lub zarzut z powodu złożenia skargi lub wniosku albo z powodu dostarczenia materiału do publikacji o znamionach skargi lub wniosku, jeżeli działał w granicach prawem dozwolonych</w:t>
      </w: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. § 2. Organy państwowe, organy jednostek samorządu terytorialnego i inne organy samorządowe oraz organy organizacji społecznych są obowiązane przeciwdziałać hamowaniu krytyki i innym działaniom ograniczającym prawo do składania skarg i wniosków lub dostarczania informacji - do publikacji - o znamionach skargi lub wniosku."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Eksperci NIK piszą: "Niewielka liczba składanych wniosków o udzielenie informacji publicznej, liczba skarg złożonych do WSA, jak również liczba pozwów złożonych do sądów rejonowych, świadczyć może o braku zainteresowania w egzekwowaniu powszechnego prawa do informacji publicznej. Z drugiej strony, realizację tego prawa utrudniają podmioty zobowiązane do pełnej przejrzystości swojego działania, poprzez nieudostępnianie wymaganej informacji publicznej" [Protokół pokontrolny dostępny w sieci Internet: LBY-4101-09/2010]. Mamy nadzieję, zmienić powyższą ocenę, być może nasz wniosek choć w niewielkim stopniu – przyczyni się do zwiększenia tych wskaźników.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Oczywiście - wszelkie ewentualne postępowania - ogłoszone przez Jednostkę Administracji Publicznej - będące następstwem niniejszego wniosku - należy przeprowadzić zgodnie z rygorystycznymi zasadami wydatkowania środków publicznych -  z uwzględnieniem stosowania zasad uczciwej konkurencji, przejrzystości i transparentności -  zatem w pełni lege artis. 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  <w:r w:rsidRPr="00037167"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  <w:t>Ponownie sygnalizujemy, że do wniosku dołączono plik podpisany bezpiecznym kwalifikowanym podpisem elektronicznym.  Weryfikacja podpisu i odczytanie pliku wymaga posiadania oprogramowania, które bez ponoszenia opłat, można uzyskać na stronach WWW podmiotów - zgodnie z ustawą, świadczących usługi certyfikacyjne.</w:t>
      </w: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Arial" w:eastAsia="Times New Roman" w:hAnsi="Arial" w:cs="Arial"/>
          <w:color w:val="000000"/>
          <w:sz w:val="21"/>
          <w:szCs w:val="21"/>
          <w:lang w:val="pl-PL" w:eastAsia="en-GB"/>
        </w:rPr>
      </w:pPr>
    </w:p>
    <w:p w:rsidR="00037167" w:rsidRPr="00037167" w:rsidRDefault="00037167" w:rsidP="00037167">
      <w:pPr>
        <w:jc w:val="both"/>
        <w:rPr>
          <w:rFonts w:ascii="Times New Roman" w:eastAsia="Times New Roman" w:hAnsi="Times New Roman" w:cs="Times New Roman"/>
          <w:lang w:val="pl-PL" w:eastAsia="en-GB"/>
        </w:rPr>
      </w:pPr>
    </w:p>
    <w:bookmarkEnd w:id="0"/>
    <w:p w:rsidR="005E08AE" w:rsidRPr="00037167" w:rsidRDefault="00D378C3" w:rsidP="00037167">
      <w:pPr>
        <w:jc w:val="both"/>
        <w:rPr>
          <w:lang w:val="pl-PL"/>
        </w:rPr>
      </w:pPr>
    </w:p>
    <w:sectPr w:rsidR="005E08AE" w:rsidRPr="00037167" w:rsidSect="00BD671B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 Light">
    <w:altName w:val="Segoe UI"/>
    <w:charset w:val="00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savePreviewPicture/>
  <w:compat/>
  <w:rsids>
    <w:rsidRoot w:val="00037167"/>
    <w:rsid w:val="00007E8E"/>
    <w:rsid w:val="00037167"/>
    <w:rsid w:val="00351622"/>
    <w:rsid w:val="00BD671B"/>
    <w:rsid w:val="00D378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5162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pple-converted-space">
    <w:name w:val="apple-converted-space"/>
    <w:basedOn w:val="Domylnaczcionkaakapitu"/>
    <w:rsid w:val="000371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11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15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13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191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2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34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69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7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52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67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677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80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02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5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32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622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063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60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44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01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56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52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797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138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64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40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5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83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84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8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881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744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81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03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08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70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499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6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89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571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87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6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07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6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187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7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17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11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13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21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844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98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72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23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653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42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7949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05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3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78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991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469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27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01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84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4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5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58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8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052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64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2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406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08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9491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4192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660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461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120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215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5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136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7015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87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122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05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09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664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31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98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491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21229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2912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61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19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337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421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4901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648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2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4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1980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82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7986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7604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7361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01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5</Pages>
  <Words>2343</Words>
  <Characters>14061</Characters>
  <Application>Microsoft Office Word</Application>
  <DocSecurity>0</DocSecurity>
  <Lines>117</Lines>
  <Paragraphs>32</Paragraphs>
  <ScaleCrop>false</ScaleCrop>
  <Company/>
  <LinksUpToDate>false</LinksUpToDate>
  <CharactersWithSpaces>16372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Szulc</dc:creator>
  <cp:keywords/>
  <dc:description/>
  <cp:lastModifiedBy> </cp:lastModifiedBy>
  <cp:revision>2</cp:revision>
  <dcterms:created xsi:type="dcterms:W3CDTF">2019-06-05T06:57:00Z</dcterms:created>
  <dcterms:modified xsi:type="dcterms:W3CDTF">2019-06-05T06:57:00Z</dcterms:modified>
</cp:coreProperties>
</file>